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F9769" w14:textId="77777777" w:rsidR="003E7C9C" w:rsidRPr="006B73B9" w:rsidRDefault="003E7C9C" w:rsidP="003E7C9C">
      <w:pPr>
        <w:spacing w:after="150" w:line="240" w:lineRule="auto"/>
        <w:rPr>
          <w:rFonts w:ascii="Arial" w:eastAsia="Times New Roman" w:hAnsi="Arial" w:cs="Arial"/>
          <w:color w:val="2F2F2F"/>
          <w:sz w:val="38"/>
          <w:szCs w:val="38"/>
        </w:rPr>
      </w:pPr>
      <w:r w:rsidRPr="006B73B9">
        <w:rPr>
          <w:rFonts w:ascii="Arial" w:eastAsia="Times New Roman" w:hAnsi="Arial" w:cs="Arial"/>
          <w:color w:val="2F2F2F"/>
          <w:sz w:val="38"/>
          <w:szCs w:val="38"/>
        </w:rPr>
        <w:t>Inhoud workshop</w:t>
      </w:r>
    </w:p>
    <w:p w14:paraId="69A082D0" w14:textId="77777777" w:rsidR="003E7C9C" w:rsidRPr="006B73B9" w:rsidRDefault="003E7C9C" w:rsidP="003E7C9C">
      <w:pPr>
        <w:spacing w:after="300" w:line="300" w:lineRule="atLeast"/>
        <w:rPr>
          <w:rFonts w:ascii="Arial" w:eastAsia="Times New Roman" w:hAnsi="Arial" w:cs="Arial"/>
          <w:color w:val="2F2F2F"/>
          <w:sz w:val="21"/>
          <w:szCs w:val="21"/>
        </w:rPr>
      </w:pPr>
      <w:r w:rsidRPr="006B73B9">
        <w:rPr>
          <w:rFonts w:ascii="Arial" w:eastAsia="Times New Roman" w:hAnsi="Arial" w:cs="Arial"/>
          <w:color w:val="2F2F2F"/>
          <w:sz w:val="21"/>
          <w:szCs w:val="21"/>
        </w:rPr>
        <w:t>Deze cursus is bedoeld voor huisartsen die overwegen een nieuwe praktijk te bouwen, en biedt informatie over de functionele indeling van de praktijk, het bouwproces, de kosten, financiering en juridische aspecten van samenwerking.</w:t>
      </w:r>
    </w:p>
    <w:p w14:paraId="4DC76683" w14:textId="77777777" w:rsidR="003E7C9C" w:rsidRPr="006B73B9" w:rsidRDefault="003E7C9C" w:rsidP="003E7C9C">
      <w:pPr>
        <w:spacing w:after="300" w:line="300" w:lineRule="atLeast"/>
        <w:rPr>
          <w:rFonts w:ascii="Arial" w:eastAsia="Times New Roman" w:hAnsi="Arial" w:cs="Arial"/>
          <w:color w:val="2F2F2F"/>
          <w:sz w:val="21"/>
          <w:szCs w:val="21"/>
        </w:rPr>
      </w:pPr>
      <w:r w:rsidRPr="006B73B9">
        <w:rPr>
          <w:rFonts w:ascii="Arial" w:eastAsia="Times New Roman" w:hAnsi="Arial" w:cs="Arial"/>
          <w:color w:val="2F2F2F"/>
          <w:sz w:val="21"/>
          <w:szCs w:val="21"/>
        </w:rPr>
        <w:t>In deze cursus komen onder meer de volgende onderwerpen aan bod:</w:t>
      </w:r>
    </w:p>
    <w:p w14:paraId="75B4A094" w14:textId="77777777" w:rsidR="003E7C9C" w:rsidRPr="006B73B9" w:rsidRDefault="003E7C9C" w:rsidP="003E7C9C">
      <w:pPr>
        <w:spacing w:after="300" w:line="300" w:lineRule="atLeast"/>
        <w:rPr>
          <w:rFonts w:ascii="Arial" w:eastAsia="Times New Roman" w:hAnsi="Arial" w:cs="Arial"/>
          <w:color w:val="2F2F2F"/>
          <w:sz w:val="21"/>
          <w:szCs w:val="21"/>
        </w:rPr>
      </w:pPr>
      <w:r w:rsidRPr="006B73B9">
        <w:rPr>
          <w:rFonts w:ascii="Arial" w:eastAsia="Times New Roman" w:hAnsi="Arial" w:cs="Arial"/>
          <w:b/>
          <w:bCs/>
          <w:color w:val="2F2F2F"/>
          <w:sz w:val="21"/>
          <w:szCs w:val="21"/>
        </w:rPr>
        <w:t>Functionele indeling van de praktijk, het bouwproces</w:t>
      </w:r>
    </w:p>
    <w:p w14:paraId="2D814AAC" w14:textId="77777777" w:rsidR="003E7C9C" w:rsidRPr="006B73B9" w:rsidRDefault="003E7C9C" w:rsidP="003E7C9C">
      <w:pPr>
        <w:numPr>
          <w:ilvl w:val="0"/>
          <w:numId w:val="1"/>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Het bouwproces in stappen</w:t>
      </w:r>
    </w:p>
    <w:p w14:paraId="541A7A88" w14:textId="77777777" w:rsidR="003E7C9C" w:rsidRPr="006B73B9" w:rsidRDefault="003E7C9C" w:rsidP="003E7C9C">
      <w:pPr>
        <w:numPr>
          <w:ilvl w:val="0"/>
          <w:numId w:val="1"/>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Aantal en soort ruimten en m2 in relatie tot teamsamenstelling</w:t>
      </w:r>
    </w:p>
    <w:p w14:paraId="16DB8947" w14:textId="77777777" w:rsidR="003E7C9C" w:rsidRPr="006B73B9" w:rsidRDefault="003E7C9C" w:rsidP="003E7C9C">
      <w:pPr>
        <w:numPr>
          <w:ilvl w:val="0"/>
          <w:numId w:val="1"/>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Maatvoering en functionele indeling</w:t>
      </w:r>
    </w:p>
    <w:p w14:paraId="7F2E2269" w14:textId="77777777" w:rsidR="003E7C9C" w:rsidRPr="006B73B9" w:rsidRDefault="003E7C9C" w:rsidP="003E7C9C">
      <w:pPr>
        <w:numPr>
          <w:ilvl w:val="0"/>
          <w:numId w:val="1"/>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De 10 gouden regels bij de bouw van praktijkruimte</w:t>
      </w:r>
    </w:p>
    <w:p w14:paraId="27EB0A23" w14:textId="77777777" w:rsidR="003E7C9C" w:rsidRPr="006B73B9" w:rsidRDefault="003E7C9C" w:rsidP="003E7C9C">
      <w:pPr>
        <w:spacing w:after="300" w:line="300" w:lineRule="atLeast"/>
        <w:rPr>
          <w:rFonts w:ascii="Arial" w:eastAsia="Times New Roman" w:hAnsi="Arial" w:cs="Arial"/>
          <w:color w:val="2F2F2F"/>
          <w:sz w:val="21"/>
          <w:szCs w:val="21"/>
        </w:rPr>
      </w:pPr>
      <w:r w:rsidRPr="006B73B9">
        <w:rPr>
          <w:rFonts w:ascii="Arial" w:eastAsia="Times New Roman" w:hAnsi="Arial" w:cs="Arial"/>
          <w:b/>
          <w:bCs/>
          <w:color w:val="2F2F2F"/>
          <w:sz w:val="21"/>
          <w:szCs w:val="21"/>
        </w:rPr>
        <w:t>Financiële aspecten</w:t>
      </w:r>
    </w:p>
    <w:p w14:paraId="7EF09B15" w14:textId="77777777" w:rsidR="003E7C9C" w:rsidRPr="006B73B9" w:rsidRDefault="003E7C9C" w:rsidP="003E7C9C">
      <w:pPr>
        <w:numPr>
          <w:ilvl w:val="0"/>
          <w:numId w:val="2"/>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Kopen of huren</w:t>
      </w:r>
    </w:p>
    <w:p w14:paraId="6F7A6192" w14:textId="77777777" w:rsidR="003E7C9C" w:rsidRPr="006B73B9" w:rsidRDefault="003E7C9C" w:rsidP="003E7C9C">
      <w:pPr>
        <w:numPr>
          <w:ilvl w:val="0"/>
          <w:numId w:val="2"/>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Bouwkosten bij nieuwbouw</w:t>
      </w:r>
    </w:p>
    <w:p w14:paraId="44FE2270" w14:textId="77777777" w:rsidR="003E7C9C" w:rsidRPr="006B73B9" w:rsidRDefault="003E7C9C" w:rsidP="003E7C9C">
      <w:pPr>
        <w:numPr>
          <w:ilvl w:val="0"/>
          <w:numId w:val="2"/>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Haalbaarheidsonderzoek bij verbouw</w:t>
      </w:r>
    </w:p>
    <w:p w14:paraId="647BFB07" w14:textId="77777777" w:rsidR="003E7C9C" w:rsidRPr="006B73B9" w:rsidRDefault="003E7C9C" w:rsidP="003E7C9C">
      <w:pPr>
        <w:numPr>
          <w:ilvl w:val="0"/>
          <w:numId w:val="2"/>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Bouwtechnische voorwaarden</w:t>
      </w:r>
    </w:p>
    <w:p w14:paraId="035A1B4E" w14:textId="77777777" w:rsidR="003E7C9C" w:rsidRPr="006B73B9" w:rsidRDefault="003E7C9C" w:rsidP="003E7C9C">
      <w:pPr>
        <w:numPr>
          <w:ilvl w:val="0"/>
          <w:numId w:val="2"/>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Extra eisen van LHV waar een praktijk aan moet voldoen</w:t>
      </w:r>
    </w:p>
    <w:p w14:paraId="32D6380F" w14:textId="77777777" w:rsidR="003E7C9C" w:rsidRPr="006B73B9" w:rsidRDefault="003E7C9C" w:rsidP="003E7C9C">
      <w:pPr>
        <w:spacing w:after="300" w:line="300" w:lineRule="atLeast"/>
        <w:rPr>
          <w:rFonts w:ascii="Arial" w:eastAsia="Times New Roman" w:hAnsi="Arial" w:cs="Arial"/>
          <w:color w:val="2F2F2F"/>
          <w:sz w:val="21"/>
          <w:szCs w:val="21"/>
        </w:rPr>
      </w:pPr>
      <w:r w:rsidRPr="006B73B9">
        <w:rPr>
          <w:rFonts w:ascii="Arial" w:eastAsia="Times New Roman" w:hAnsi="Arial" w:cs="Arial"/>
          <w:b/>
          <w:bCs/>
          <w:color w:val="2F2F2F"/>
          <w:sz w:val="21"/>
          <w:szCs w:val="21"/>
        </w:rPr>
        <w:t>Financieel-technische en juridische aspecten</w:t>
      </w:r>
    </w:p>
    <w:p w14:paraId="5F315E2E" w14:textId="77777777" w:rsidR="003E7C9C" w:rsidRPr="006B73B9" w:rsidRDefault="003E7C9C" w:rsidP="003E7C9C">
      <w:pPr>
        <w:numPr>
          <w:ilvl w:val="0"/>
          <w:numId w:val="3"/>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De financiële gevolgen van kopen of huren</w:t>
      </w:r>
    </w:p>
    <w:p w14:paraId="03F6F689" w14:textId="77777777" w:rsidR="003E7C9C" w:rsidRPr="006B73B9" w:rsidRDefault="003E7C9C" w:rsidP="003E7C9C">
      <w:pPr>
        <w:numPr>
          <w:ilvl w:val="0"/>
          <w:numId w:val="3"/>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De vertaling naar een investerings- en financieringsbedrag</w:t>
      </w:r>
    </w:p>
    <w:p w14:paraId="345CA7DB" w14:textId="77777777" w:rsidR="003E7C9C" w:rsidRPr="006B73B9" w:rsidRDefault="003E7C9C" w:rsidP="003E7C9C">
      <w:pPr>
        <w:numPr>
          <w:ilvl w:val="0"/>
          <w:numId w:val="3"/>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De gevolgen voor uw aansprakelijkheid</w:t>
      </w:r>
    </w:p>
    <w:p w14:paraId="61A05E57" w14:textId="77777777" w:rsidR="003E7C9C" w:rsidRPr="006B73B9" w:rsidRDefault="003E7C9C" w:rsidP="003E7C9C">
      <w:pPr>
        <w:numPr>
          <w:ilvl w:val="0"/>
          <w:numId w:val="3"/>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Efficiency en het effect hiervan op opbrengsten en kosten</w:t>
      </w:r>
    </w:p>
    <w:p w14:paraId="60500B04" w14:textId="77777777" w:rsidR="003E7C9C" w:rsidRPr="006B73B9" w:rsidRDefault="003E7C9C" w:rsidP="003E7C9C">
      <w:pPr>
        <w:numPr>
          <w:ilvl w:val="0"/>
          <w:numId w:val="3"/>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De juridische vormgeving van een samenwerkingsverband</w:t>
      </w:r>
    </w:p>
    <w:p w14:paraId="79C3895E" w14:textId="77777777" w:rsidR="003E7C9C" w:rsidRPr="006B73B9" w:rsidRDefault="003E7C9C" w:rsidP="003E7C9C">
      <w:pPr>
        <w:numPr>
          <w:ilvl w:val="0"/>
          <w:numId w:val="3"/>
        </w:numPr>
        <w:spacing w:after="0" w:line="300" w:lineRule="atLeast"/>
        <w:ind w:left="0" w:hanging="264"/>
        <w:textAlignment w:val="top"/>
        <w:rPr>
          <w:rFonts w:ascii="Arial" w:eastAsia="Times New Roman" w:hAnsi="Arial" w:cs="Arial"/>
          <w:color w:val="2F2F2F"/>
          <w:sz w:val="21"/>
          <w:szCs w:val="21"/>
        </w:rPr>
      </w:pPr>
      <w:r w:rsidRPr="006B73B9">
        <w:rPr>
          <w:rFonts w:ascii="Arial" w:eastAsia="Times New Roman" w:hAnsi="Arial" w:cs="Arial"/>
          <w:color w:val="2F2F2F"/>
          <w:sz w:val="21"/>
          <w:szCs w:val="21"/>
        </w:rPr>
        <w:t>Na afloop van de cursus is er uiteraard gelegenheid tot het stellen van vragen</w:t>
      </w:r>
    </w:p>
    <w:p w14:paraId="588E80EF" w14:textId="77777777" w:rsidR="00915FCF" w:rsidRDefault="00915FCF"/>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35C2A"/>
    <w:multiLevelType w:val="multilevel"/>
    <w:tmpl w:val="2038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90697"/>
    <w:multiLevelType w:val="multilevel"/>
    <w:tmpl w:val="0842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C90C6E"/>
    <w:multiLevelType w:val="multilevel"/>
    <w:tmpl w:val="302E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9C"/>
    <w:rsid w:val="001B2B18"/>
    <w:rsid w:val="003E7C9C"/>
    <w:rsid w:val="0091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C892"/>
  <w15:chartTrackingRefBased/>
  <w15:docId w15:val="{78E049A0-BD31-4913-A92D-158E518C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7C9C"/>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6FADDC65CAA42A3AF7B80EFEDD0D8" ma:contentTypeVersion="12" ma:contentTypeDescription="Een nieuw document maken." ma:contentTypeScope="" ma:versionID="401e3c3976b845dc6d29089f81d6fe37">
  <xsd:schema xmlns:xsd="http://www.w3.org/2001/XMLSchema" xmlns:xs="http://www.w3.org/2001/XMLSchema" xmlns:p="http://schemas.microsoft.com/office/2006/metadata/properties" xmlns:ns2="2800d838-55e4-4359-a83d-7f34c223bb3c" xmlns:ns3="16463c95-b589-4d88-a268-689b00110e0b" targetNamespace="http://schemas.microsoft.com/office/2006/metadata/properties" ma:root="true" ma:fieldsID="041f26d7f3a21c9528f5d84b2620f6c2" ns2:_="" ns3:_="">
    <xsd:import namespace="2800d838-55e4-4359-a83d-7f34c223bb3c"/>
    <xsd:import namespace="16463c95-b589-4d88-a268-689b00110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0d838-55e4-4359-a83d-7f34c223b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63c95-b589-4d88-a268-689b00110e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D2F7F-BD11-43A1-B664-F84FBF452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39BC1-C95C-4A06-8D57-4DCBFCB99EAB}">
  <ds:schemaRefs>
    <ds:schemaRef ds:uri="http://schemas.microsoft.com/sharepoint/v3/contenttype/forms"/>
  </ds:schemaRefs>
</ds:datastoreItem>
</file>

<file path=customXml/itemProps3.xml><?xml version="1.0" encoding="utf-8"?>
<ds:datastoreItem xmlns:ds="http://schemas.openxmlformats.org/officeDocument/2006/customXml" ds:itemID="{B5DF17CA-6D4D-4E33-8E94-BF06C356BAC7}"/>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926</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2021-01-12T15:46:00Z</dcterms:created>
  <dcterms:modified xsi:type="dcterms:W3CDTF">2021-01-12T15:46:00Z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0x010100F5C6FADDC65CAA42A3AF7B80EFEDD0D8</vt:lpwstr>
  </property>
</Properties>
</file>